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AC" w:rsidRDefault="003404F6" w:rsidP="001B0A42">
      <w:pPr>
        <w:rPr>
          <w:b/>
        </w:rPr>
      </w:pPr>
      <w:r>
        <w:t xml:space="preserve">                            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Додаток 3 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начальника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______________№_________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3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Програми)                                                 </w:t>
      </w:r>
    </w:p>
    <w:p w:rsidR="008834AC" w:rsidRDefault="00883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4AC" w:rsidRDefault="003404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завдань, заходів і результативних показників на 2025 рік</w:t>
      </w:r>
    </w:p>
    <w:p w:rsidR="008834AC" w:rsidRDefault="003404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Програми розвитку освіти Львівської області на 2021 – 2025 роки</w:t>
      </w:r>
    </w:p>
    <w:p w:rsidR="008834AC" w:rsidRDefault="00883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a"/>
        <w:tblpPr w:leftFromText="180" w:rightFromText="180" w:vertAnchor="text" w:tblpX="-451" w:tblpY="1"/>
        <w:tblW w:w="173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1464"/>
        <w:gridCol w:w="76"/>
        <w:gridCol w:w="1767"/>
        <w:gridCol w:w="1842"/>
        <w:gridCol w:w="851"/>
        <w:gridCol w:w="567"/>
        <w:gridCol w:w="709"/>
        <w:gridCol w:w="708"/>
        <w:gridCol w:w="709"/>
        <w:gridCol w:w="992"/>
        <w:gridCol w:w="709"/>
        <w:gridCol w:w="851"/>
        <w:gridCol w:w="850"/>
        <w:gridCol w:w="3267"/>
        <w:gridCol w:w="1491"/>
      </w:tblGrid>
      <w:tr w:rsidR="00726CAB" w:rsidTr="00823A5A">
        <w:trPr>
          <w:gridAfter w:val="1"/>
          <w:wAfter w:w="1491" w:type="dxa"/>
          <w:trHeight w:val="245"/>
          <w:tblHeader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 цілі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Заходи цілей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 виконання заходу, один. виміру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Виконавці </w:t>
            </w:r>
          </w:p>
          <w:p w:rsidR="00726CAB" w:rsidRDefault="00726CAB" w:rsidP="00726CAB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</w:p>
        </w:tc>
        <w:tc>
          <w:tcPr>
            <w:tcW w:w="9362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26CAB" w:rsidRDefault="00726CAB" w:rsidP="00FE18D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Фінансування</w:t>
            </w:r>
          </w:p>
        </w:tc>
      </w:tr>
      <w:tr w:rsidR="00726CAB" w:rsidTr="00823A5A">
        <w:trPr>
          <w:gridAfter w:val="1"/>
          <w:wAfter w:w="1491" w:type="dxa"/>
          <w:trHeight w:val="137"/>
          <w:tblHeader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Джере</w:t>
            </w:r>
          </w:p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ла*</w:t>
            </w:r>
          </w:p>
        </w:tc>
        <w:tc>
          <w:tcPr>
            <w:tcW w:w="87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CAB" w:rsidRDefault="00726CAB" w:rsidP="00FE18D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Обсяги, тис. грн</w:t>
            </w:r>
          </w:p>
        </w:tc>
      </w:tr>
      <w:tr w:rsidR="00726CAB" w:rsidTr="00823A5A">
        <w:trPr>
          <w:gridAfter w:val="1"/>
          <w:wAfter w:w="1491" w:type="dxa"/>
          <w:trHeight w:val="70"/>
          <w:tblHeader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:rsidR="00726CAB" w:rsidRDefault="00726CAB" w:rsidP="00726CAB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 рік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рік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Зміни до 2025 року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Усього з урахуванням змін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Індикатори</w:t>
            </w:r>
          </w:p>
        </w:tc>
      </w:tr>
      <w:tr w:rsidR="00726CAB" w:rsidTr="00726CAB">
        <w:trPr>
          <w:gridAfter w:val="1"/>
          <w:wAfter w:w="1491" w:type="dxa"/>
          <w:trHeight w:val="70"/>
        </w:trPr>
        <w:tc>
          <w:tcPr>
            <w:tcW w:w="15878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рік**</w:t>
            </w:r>
          </w:p>
          <w:p w:rsidR="00726CAB" w:rsidRDefault="00726CAB" w:rsidP="00726CAB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6CAB" w:rsidTr="00726CAB">
        <w:trPr>
          <w:gridAfter w:val="1"/>
          <w:wAfter w:w="1491" w:type="dxa"/>
          <w:trHeight w:val="70"/>
        </w:trPr>
        <w:tc>
          <w:tcPr>
            <w:tcW w:w="158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Дошкільна освіта</w:t>
            </w:r>
          </w:p>
          <w:p w:rsidR="00726CAB" w:rsidRDefault="00726CAB" w:rsidP="00726CAB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6CAB" w:rsidTr="00586316">
        <w:trPr>
          <w:gridAfter w:val="1"/>
          <w:wAfter w:w="1491" w:type="dxa"/>
          <w:trHeight w:val="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розроблення та апробацію освітніх програм і навчальних курсів, що дозволяють ефективно реалізувати вимоги Базового компонента дошкільної освіти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програми розвитку дитини, відповідають інтересам батьків і місцевих громад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Впровадження в ЗДО області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інноваційних освітніх програм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міжнародної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парціальної програми соціально-фінансової освіти дітей дошкільного віку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Афлатот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(Нідерланди)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авторської комплексної оздоровчої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Нехворійко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в) парціальної програми з духовно-морального виховання «Зерно любові».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програмно-методичного забезпечення для цих програм.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ЗДО, що працюють за програмою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дошкільнят, які навчаються за програмою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дошкільника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Забезпечення потреби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ДОН ЛОДА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>ОБ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Виконані роботи та надані послуги 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Охоплені програмами 32 ЗДО, 480 дошкільнят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(орієнтовно)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Витрати на одну дитину  197,9 грн (орієнтовно)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Випущено 3 методичні посібники (до 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Дошкільнятам забезпечено якісний виховний простір</w:t>
            </w:r>
          </w:p>
        </w:tc>
        <w:bookmarkStart w:id="0" w:name="_GoBack"/>
        <w:bookmarkEnd w:id="0"/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ініціативи, спрямовані на саморозвиток спільнот ЗДО,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якості та ефективності освітнього процесу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Забезпечення  наступності в упровадженні особистісно-орієнтованої моделі змісту освіти, передбаченої  Базовим компонентом дошкільної освіти та Державним стандартом початкової освіти, через: 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щосеместрові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спільні конференції (онлайн-конференції) вихователів ЗДО та вчителів початкової школи (класних керівників) для обміну досвідом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взаємонавчання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створення програмно-методичного забезпечення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наступності між дошкільною і початковою освітою та ін.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робіт,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онлайн-конференцій вихователів ЗДО та вчителів початкової школи.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Загальний обсяг програмно-методичних розробок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надані послуги на одного користувача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Виконані роботи та надані послуги  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вебінари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1 науково-практичну конференцію вихователів ЗДО та вчителів початкової школи (орієнтовно 210 осіб).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до друку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.-метод.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посібн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надані послуги на одного педагога становить  476 гривень.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Забезпечено наступність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упровадженні особистісно-орієнтованої моделі змісту освіти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30 ЗДО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Організація  освітнього середовища в закладах дошкільної освіти за критеріями якості з методики ECERS-3 (у межах всеукраїнського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освоєння методики ECERS-3, моніторингу та підвищення якості освітнього середовища у пілотних ЗДО)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ЗДО, охоплених ECERS-3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ЗДО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Продуктивність запропонованих змін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Надано послуг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вебінари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/семінари з методики ECERS-3, обстеження ЗДО) 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ЗДО – 15 тис. гривень.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ЗДО напрацювали індивідуальну стратегію розвитку відповідно до результатів дослідження ECERS-3.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ЗДО, що обрали програму, створено якісне освітнє середовище</w:t>
            </w:r>
          </w:p>
        </w:tc>
      </w:tr>
      <w:tr w:rsidR="00586316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2A18" w:rsidTr="00354B28">
        <w:trPr>
          <w:gridAfter w:val="1"/>
          <w:wAfter w:w="1491" w:type="dxa"/>
        </w:trPr>
        <w:tc>
          <w:tcPr>
            <w:tcW w:w="15878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B2A18" w:rsidRDefault="00DB2A18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середня освіта</w:t>
            </w:r>
          </w:p>
          <w:p w:rsidR="00DB2A18" w:rsidRDefault="00DB2A18" w:rsidP="00726CAB">
            <w:pPr>
              <w:spacing w:after="0" w:line="240" w:lineRule="auto"/>
              <w:jc w:val="center"/>
            </w:pP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розроблення та апробацію освітніх програм і навчальних курсів, що дозволяють ефективно реалізувати стандарти початкової та базової загальної освіти, відповідають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запитам і потребам учнів і місцевих громад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«Впровадження нових інноваційних програми для осучаснення освітнього процесу»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премій, виконаних робіт та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авторських програм.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Обсяг дидактичних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Результати апробації програм і матеріалів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Грифування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 і матеріалів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Відібрано нові інноваційні програми 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”: статеве виховання в контексті дорослої відповідальності». Впровадження у ЗЗСО програми статевого виховання молоді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Sexuality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context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Adult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“Навчання статевої поведінки у контексті дорослої відповідальності”). Тренінги для педагогів та пілотні курси для школярів Львівщини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виконаних робіт/наданих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Обсяг навчальних занять для вчителів та учнів (год.) 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 та учнів, охоплених програмою (%)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запропонованого змісту навчання програмі та вимогам до якості наданих послуг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Комісія освіти і виховання УГКЦ;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Österreich</w:t>
            </w:r>
            <w:proofErr w:type="spellEnd"/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УКУ Український католицький університет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адаптовано.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Перекладено матеріали програми українською мовою загальним обсягом до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Прочитано ознайомчий спецкурс (8 год.).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Підвищено професійний рівень педагогів Львівщини з питань  статевого виховання молоді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Організовувати різного виду змагання між учасниками освітнього процесу з метою виявлення їхніх обдарувань, розвитку креативності та вольових якостей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Книгокрай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навичок читацької культури, підвищення рівня читацької грамотності й мотивації школярів до читання книжок за допомогою інформаційно-ігрової електронної платформи для вдумливих читачів дитячого віку. Наповнення е-платформи контентом.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Нагородження кращих читачів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виконаних робіт/наданих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Інформаційно-ігрова електронна платформа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продукту розробленому технічному завданню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учнів, які розвивають навички читача як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користувачі платформи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«ЛОНПБ»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та запущено електронну платформу для вдумливого читання.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Сформовано контент для е-платформи загальним обсягом 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(орієнтовно).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Зареєстровано 10% ЗЗСО, 5% класів, 3%  учнів.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Підвищено рівень читацької грамотності і мотивації учнів до читання книг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Підвищити ефективність освітнього процесу через впровадження сучасних технологій та засобів навчання, зокрема  дистанційне та змішане навчання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«Дидактичне забезпечення змішаного та дистанційного навчання».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конкурс навчальних матеріалів до змістових модулів чинних загальноосвітніх навчальних програм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Сумарний обсяг навчальних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продукт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матеріалів вимогам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Виділено на преміальні та надано послуги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в електронному форматі якісних навчальних матеріалів до 120 (орієнтовно) окремих змістових модулів чинних програм навчальних предметів (інтегрованих курсів).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Розробників-переможців нагороджено преміями 21 тис. гривень. Апробацією цих матеріалів охоплено мінімум 2500 учнів та 100 вчителів</w:t>
            </w:r>
          </w:p>
        </w:tc>
      </w:tr>
      <w:tr w:rsidR="00726CAB" w:rsidTr="00586316">
        <w:trPr>
          <w:gridAfter w:val="1"/>
          <w:wAfter w:w="1491" w:type="dxa"/>
          <w:trHeight w:val="18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«Ательє візуальних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 Створення сучасної знімальної студії. Забезпечення візуального контенту освітнього процесу та візуального супроводу освітніх заходів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закупленого обладнання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 виконаних робіт /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виробленого візуального продукту (байти)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продукт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аудіовізуальні матеріали для змістових модулів програм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предметів загальним обсягом до 1,5 мегабайт.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Змонтовано відеоролики для популяризації Стратегії розвитку освіти Львівщини та інших освітніх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Забезпечено візуальний супровід освітніх заходів, передбачених Програмою розвитку освіти Львівщини. 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Аудіовізуальний  контент розміщено на освітніх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вебсайтах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каналах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Оберігати здоров’я учасників освітнього процесу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«Школа сприяння здоров’ю». Залучення педколективів ЗЗСО до розбудови здорового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середовища із застосуванням апробованого інструменту самооцінки і вдосконалення ЗЗСО «Індекс здоров’я школи». Розроблення методичних матеріалів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педколективів, що застосовують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інструмент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Відповідність середовища критеріям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«ЛОІППО»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УКУ-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Залучено  в 21 ТГ по одній школі до процесу самооцінки і вдосконалення ЗЗСО із застосуванням «Індексу здоров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школи».</w:t>
            </w:r>
          </w:p>
          <w:p w:rsidR="00726CAB" w:rsidRDefault="00726CAB" w:rsidP="00726C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метод. рекомендації, закладено базу даних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726CA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Розроблено програму спецкурсу  і підготовлено  координаторів  (1 представник  від школи) шкільних команд з визначення ІЗШ (очно-дистанційна форма,    8 год.) 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ініціативи, спрямовані на саморозвиток спільнот ЗЗСО,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якості та ефективності освітнього процесу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«Оцінювання якості освітнього середовища: е-інструментарій виміру показників». Розроблення та впровадження технології оцінювання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якості освітнього середовища ЗЗСО як виховного простору з використанням електронного інструментарію вимірювання показників (анкет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датабази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результатів досліджень)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Е-анкети та 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рограми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накопичування даних.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К-ть ЗЗСО, які використовують інструментарій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технологією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Виконано робіт/надано послуг на суму 100 тис грн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3 електронні анкети та базу даних якості виховного простору ЗЗСО.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Підготовано до друку навчально-методичний посібник з описом технології дослідження якості виховного простору і організації професійного розвитку педагогічних працівників щодо вимірювання та аналізу результатів досліджень.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2 тренінги для пед. персоналу 10 ЗЗСО, де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апробовуватиметься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інструментарій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«Ефективність освітніх мереж територіальних громад Львівщини». Моніторинг функціонування ЗЗСО у територіальних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громадах та якості надаваних цими закладами послуг з метою оцінки ефективності та сприяння оптимізації мережі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громад та ЗО, які скористалися послугами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громад, яким надано послуги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наданих послуг запитам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промоцію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матрицю бази даних про стан освітньої мережі ТГ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Стимулювати професійне зростання педагогічних працівників. Запровадити систему науково-педагогічної підтримки педагогічних кадрів ЗЗСО 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«Освітній Еверест». Створення при опорних ЗЗСО постійно діючих тренінгових центрів професійного зростання педагогічних працівників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взаємонавчання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розроблення інструментарію формувального оцінювання, правильників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внутрішньошкільного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заохочення та оцінювання, орієнтованих на стимулювання особистісного розвитку дитини.  Створення методичних матеріалів для вчителя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педагогів, які користуються послугами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педагога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викладання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ЦПР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ОУОТГ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E1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Виконано  робіт/надано послуг на суму 100 тис грн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7 тренінгових центрів педагогічних працівників.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Сформовано тематику тренінгів та засідань методичних об’єднань педпрацівників на 2023-2024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рік.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Послугами центрів користуються 10% педагогів.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метод. мат-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загальним обсягом до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Налагоджено ефективну роботу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внутрішкільної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системи забезпечення якості освіти у ЗЗСО, які користуються послугами центрів.</w:t>
            </w:r>
          </w:p>
        </w:tc>
      </w:tr>
      <w:tr w:rsidR="00726CAB" w:rsidTr="00586316">
        <w:trPr>
          <w:gridAfter w:val="1"/>
          <w:wAfter w:w="1491" w:type="dxa"/>
          <w:trHeight w:val="155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Розвиток мережі центрів професійного розвитку педагогічних працівників області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(у тисячах грн.)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Кількість створених та обладнаних ЦПР 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педагогів, яким надано послуги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результатів оцінювання педагогами роботи ЦПР вимогам до якості наданих послуг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«ЛОІППО»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 «Центр освітніх ініціатив»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726C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та облаштовано не менше 30 ЦПР.</w:t>
            </w:r>
          </w:p>
          <w:p w:rsidR="00726CAB" w:rsidRDefault="00726CAB" w:rsidP="00726CAB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Надано послуги не менше 90% педагогів.</w:t>
            </w:r>
          </w:p>
          <w:p w:rsidR="00726CAB" w:rsidRDefault="00726CAB" w:rsidP="00726CAB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80% педагогів оцінюють роботу  ЦПР як таку, що відповідає їх вимогам до професійного зростання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Преміювання педагогічних працівників Львівщини, 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яких вирізняється творчим підходом та методичними знахідками (конкурс «Вчитель року» та ін.), в тому числі видатних працівників освіти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Оптимальність преміальних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Визнання справедливості та об’єктивності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приблизно 50 педагогів області</w:t>
            </w:r>
          </w:p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– оптимальна (8 000 гривень)</w:t>
            </w: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90 % опитаних із вибірки отримувачів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вигод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 об’єктивність та справедливість преміювання</w:t>
            </w: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Модернізувати мережу ЗЗСО області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«НУШ: кроки впровадження». Формування мережі ліцеїв (трансформація санаторних шкіл, моделювання, набуття статусу, формування матеріально-технічної і навчально-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методичної бази та ін.). Приведення у відповідність до чинного законодавства установчих документів ЗЗСО та ін.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придбаних матеріалів та обладнання / виконаних робіт /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Комплекти установчих документів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академічних ліцеїв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Комплекти обладнання для академічних ліцеїв.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відремонтованих приміщень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примцщень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обладнання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F9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Розраховано потреби ліцеїв у  обладнанні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726CAB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CAB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якісного та безпечного </w:t>
            </w:r>
            <w:r w:rsidR="006C3174">
              <w:rPr>
                <w:rFonts w:ascii="Times New Roman" w:hAnsi="Times New Roman" w:cs="Times New Roman"/>
                <w:sz w:val="20"/>
                <w:szCs w:val="20"/>
              </w:rPr>
              <w:t xml:space="preserve">харчування шляхом модернізації </w:t>
            </w:r>
            <w:proofErr w:type="spellStart"/>
            <w:r w:rsidR="006C3174">
              <w:rPr>
                <w:rFonts w:ascii="Times New Roman" w:hAnsi="Times New Roman" w:cs="Times New Roman"/>
                <w:sz w:val="20"/>
                <w:szCs w:val="20"/>
              </w:rPr>
              <w:t>їдалень</w:t>
            </w:r>
            <w:proofErr w:type="spellEnd"/>
            <w:r w:rsidR="006C3174">
              <w:rPr>
                <w:rFonts w:ascii="Times New Roman" w:hAnsi="Times New Roman" w:cs="Times New Roman"/>
                <w:sz w:val="20"/>
                <w:szCs w:val="20"/>
              </w:rPr>
              <w:t xml:space="preserve"> і хар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чоблоків закладів загальної середньої освіти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обладнання, створення та модернізація (проведення реконструкції та капітального ремонту)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їдалень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(харчоблоків) у закладах загальної середньої освіти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 / наданих послуг (тис. грн)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учнів, що користуються послугою харчування якісне та безпечне харчування з дотриманням принципів системи НАССР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Якісне та безпечне харчування з дотриманням принципів НАССР  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 умов харчування учнів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заклалах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загальної середньої освіти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23720,426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DB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DB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DB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726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обладнання, проведено ремонти у закладах загальної середньої освіти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належних умов навчання та перебування учнів у закладах  загальної середньої освіти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загальної середньої освіти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ремонтів, придбання матеріалів та обладнання у закладах загальної середньої освіти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 / 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</w:t>
            </w:r>
            <w:r w:rsidR="00C70E46">
              <w:rPr>
                <w:rFonts w:ascii="Times New Roman" w:hAnsi="Times New Roman" w:cs="Times New Roman"/>
                <w:sz w:val="20"/>
                <w:szCs w:val="20"/>
              </w:rPr>
              <w:t xml:space="preserve">учнів, що користуються послугами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C70E46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витрат на 1 учня  </w:t>
            </w:r>
            <w:r w:rsidR="006C317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r w:rsidR="00C70E46">
              <w:rPr>
                <w:rFonts w:ascii="Times New Roman" w:hAnsi="Times New Roman" w:cs="Times New Roman"/>
                <w:sz w:val="20"/>
                <w:szCs w:val="20"/>
              </w:rPr>
              <w:t xml:space="preserve"> потреби (%)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F829B8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+1626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обладнання, проведено ремонти у закладах загальної середньої освіти</w:t>
            </w:r>
          </w:p>
        </w:tc>
      </w:tr>
      <w:tr w:rsidR="006C3174" w:rsidTr="00586316">
        <w:trPr>
          <w:gridAfter w:val="1"/>
          <w:wAfter w:w="1491" w:type="dxa"/>
          <w:trHeight w:val="1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27195,426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+1626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CD16FA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354B28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62" w:type="dxa"/>
            <w:gridSpan w:val="14"/>
          </w:tcPr>
          <w:p w:rsidR="006C3174" w:rsidRPr="001B0A42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Спеціальна</w:t>
            </w:r>
            <w:r w:rsidRPr="001B0A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освіта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Зміцнення матеріально-технічної бази закладів освіти обласного підпорядкування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освіти обласного підпорядкування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обладнанням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обладнання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Зростання ефективності навчання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обладнання 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 з розроблення змісту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допрофільної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підготовки та профільного навчання, забезпечення інклюзивного професійного навчання у спеціальних ЗЗСО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Впровадження профільного навчання за спеціальностями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«масажист», «перукар», «кухар», «швачка», «столяр» та ін. для учнів 10-13 класів спеціальних освітніх закладів ЛОР. Профорієнтаційні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проєкти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  «Хочу. Можу. Буду».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Підгірцівська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спецшкола та Бориславський НРЦ «Гармонія»; б) «Соціальне шкільне підприємництво». НРЦ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Миколая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Підкамінська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СШ І-ІІІ ст.. (у співпраці з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Фондом «Східна Європа» разом із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ChildFund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Deutschland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e.V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. за фінансової підтримки Федерального Міністерства економічного співробітництва та розвитку Німеччини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придбаного обладнання/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обладнання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Покращено матеріальну базу кабінетів трудового навчання.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Користуються послугами та обладнанням  310 учнів. 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Обладнання регулярно використовується.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Зросла роль допрофесійної підготовки учнів з ООП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Пролонгація науково-педагогічного експерименту 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-соціально-культурного центру Святого Миколая. Підтримка й розгортання розробленої в НРЦ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системи корекційно-виховного впливу на розвиток особистості та реабілітацію в позаурочний час дітей шкільного віку з порушеннями психофізичного розвитку; розширення та впровадження набутого досвіду в практику інших ЗЗСО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придбаних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товаріа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товарів/виконано робіт/ надано послуг вартістю до                 8000 тис. грн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модель корекційно-виховного впливу на розвиток особистості та реабілітацію в позаурочний час дітей шкільного віку з особливими освітніми потребами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color w:val="1414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lastRenderedPageBreak/>
              <w:t xml:space="preserve">Послугами </w:t>
            </w:r>
            <w:proofErr w:type="spellStart"/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t>-соціально-культурного центру користуються до 80 учнів з ООП.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Посилювати спроможність закладів освіти компенсуючого типу до потреб користувачів освітніх послуг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на базі НРЦ «Гармонія»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Парку просторового орієнтування для дітей з порушеннями опорно-рухового апарату (тренажери, тенісна зона, міні-футбольне поле, зона відпочинку, зона сенсорного розвитку)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фізичний стан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«Навчально-реабілітаційний центр І-ІІ ступенів «Гармонія»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частину обладнання та виконано низку робіт зі створення Парку просторового орієнтування для дітей з порушеннями опорно-рухового апарату у НРЦ «Гармонія»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Послугами, що їх можна отримати в парку, користуються до 100 учнів.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Забезпечується розвиток індивідуальних можливостей осіб з ОПП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Забезпечення безперешкодного доступу до закладів освіти (пандусами, ліфтами та іншими елементами архітектурної доступності)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закладів з безперешкодним доступом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один заклад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Сформовано перелік відсутніх у закладах освіти елементів архітектурної доступності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Стимулювати професійне зростання педагогічних працівників спеціальних ЗЗСО, у тому числі розвивати професійні цифрові компетентності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педагогічних конференцій, семінарів,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кркглих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стлолів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обміну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лдосвідом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роботи з дітьми з особливими освітніми потребами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користуються послугами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витрат на учасника 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Набуття досвіду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Учасниками педагогічних конференцій, семінарів, круглих столів для обміну досвідом роботи з дітьми з особливими освітніми потребами стали до 70% педпрацівників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заклпадів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спеціальної освіти.</w:t>
            </w:r>
          </w:p>
          <w:p w:rsidR="006C3174" w:rsidRDefault="006C3174" w:rsidP="006C317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80% опитаних визнають, що проведені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заходтли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збагатили їх досвідом роботи з дітьми з ООП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Забезпечити оздоровлення учнів (вихованців) закладів освіти обласного підпорядкування, внутрішньо переміщених дітей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оздоровлення учнів  (вихованців) закладів освіти обласного підпорядкування (діти-сироти та діти, позбавлені батьківського піклування), внутрішньо переміщених дітей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 оздоровлення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8763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оздоровлення 100% учнів  (вихованців) закладів освіти обласного підпорядкування (діти-сироти, діти, позбавлені батьківського піклування), внутрішньо переміщених дітей, які перебувають в спеціальних закладах освіти обласного підпорядкування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Створити належні умови навчання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перебування учнів у закладах освіти обласного підпорядкування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Зміцнення матеріально-технічної бази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закладів освіти обласного підпорядкування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користуються послугами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Відповідність очікуванням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Оновлено та покращено матеріально-технічну базу закладів освіти обласного підпорядкування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Створити дітям з особливими освітніми потребами належні умови отримання психолого-педагогічних, корекційно-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розвиткових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послуг 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-ресурсних центрах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Оновлення матеріально-технічної бази, проведення ремонтів новостворених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-ресурсних центрів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Відповідність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Оновлено та покращено матеріально-технічну базу, проведено ремонтів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-ресурсних центрів  області на умовах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співфінансування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коштів з місцевих бюджетів (50/50)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16854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354B28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62" w:type="dxa"/>
            <w:gridSpan w:val="14"/>
            <w:tcBorders>
              <w:top w:val="nil"/>
              <w:bottom w:val="nil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Позашкільна та спеціалізована освіта</w:t>
            </w:r>
          </w:p>
          <w:p w:rsidR="006C3174" w:rsidRDefault="006C3174" w:rsidP="006C3174">
            <w:pPr>
              <w:spacing w:after="0" w:line="240" w:lineRule="auto"/>
              <w:jc w:val="center"/>
            </w:pPr>
          </w:p>
        </w:tc>
      </w:tr>
      <w:tr w:rsidR="006C3174" w:rsidTr="00586316">
        <w:trPr>
          <w:gridAfter w:val="1"/>
          <w:wAfter w:w="1491" w:type="dxa"/>
          <w:trHeight w:val="187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«Львівська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Створення на базі ЛОЦНТТУМ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яка матиме навчальні курси: операторський; сценарний; монтажу;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кольорокорекції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звукорежисерський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 мультиплікації та інші.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технічного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облпаднання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фкункціонування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Відповідність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ЛОЦНТТУМ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концепцію та кошторис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Закуплено обладнання та матеріалів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навчальні програми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набір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 15 осіб на кожний факультет)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Виготовлено навчальні відеоролики учнів школи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«Вікно в природу». Проведення заходів з оновлення еколого-освітньої виставки «Планета ЗОО» та забезпечення доступу до неї (пандус та ін.) осіб з ООП, розвитку здібностей та обдарувань цих дітей в процесі відвідування виставки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закуплених матеріалів/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Закуплено обладнання матеріалів, виконано  робіт/надано послуг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Відвідало виставку 1280 учнів.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 становить                        140,6 гривень.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відвідувачів висловили думку, що здобули нові знання та зацікавились життям тварин і птахів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Проведення заходів Всеукраїнської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дитячо-юнацької військово-патріотичної гри «Сокіл» («Джура»)  в закладах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Проведення заходів Всеукраїнської дитячо-юнацької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військово-патріотичної гри «Сокіл» («Джура»)  в закладах професійної (професійно-технічної) освіти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закуплених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матеріалів/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І етап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Всеукраїнської дитячо-юнацької військово-патріотичної гри «Сокіл» («Джура»)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закладах професійної (професійно-технічної) освіти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Преміювання переможців</w:t>
            </w:r>
          </w:p>
        </w:tc>
      </w:tr>
      <w:tr w:rsidR="006C3174" w:rsidTr="00586316">
        <w:trPr>
          <w:gridAfter w:val="1"/>
          <w:wAfter w:w="1491" w:type="dxa"/>
          <w:trHeight w:val="438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Підвищити ефективність освітнього процесу через впровадження сучасних технологій та засобів навчання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«Еко STEM – лабораторія». Розширення доступу здобувачів неформальної освіти природознавчого спрямування будь-якого віку і педагогічних працівників до наукових спостережень, іншої дослідницької діяльності, організації моніторингу стану довкілля на базі укомплектованої в  ЛОЦЕНТУМ Еко STEM – лабораторії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закупленого обладнання/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Закуплено обладнання/ виконано робіт/надано послуг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Скористалися освітніми послугами до 2 тис. учнів.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 – 125 гривень.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користувачів виявили інтерес до наукових спостережень та організації моніторингу стану довкілля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Оновлення матеріально-технічної бази, проведення ремонтів закладів,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 освіти обласного підпорядкування та позашкільних закладів області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закуплених меблів та  обладнання/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оновленою базою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Закуплено обладнання/виконано робіт/надано послуг сумарною вартістю до 1900 тис. гривень.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Підвищити ефективність освітнього процесу через впровадження сучасних технологій та засобів навчання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Відвідування музеїв, навчальних лабораторій. 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виїзних виставок, книжкових ярмарків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придбаних матеріалів/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взяли участь у заходах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ЛОДА, заклади позашкільної освіти, відділи освіти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Налагоджено співпрацю з Музеєм науки м. Львова. Відвідало Музей науки 3,5 тис. учнів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10 виїзних виставок книжкових ярмарок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354B28">
        <w:trPr>
          <w:gridAfter w:val="1"/>
          <w:wAfter w:w="1491" w:type="dxa"/>
        </w:trPr>
        <w:tc>
          <w:tcPr>
            <w:tcW w:w="158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Професійна (професійно-технічна) та фахова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передвища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освіта</w:t>
            </w:r>
          </w:p>
          <w:p w:rsidR="006C3174" w:rsidRDefault="006C3174" w:rsidP="006C3174">
            <w:pPr>
              <w:spacing w:after="0" w:line="240" w:lineRule="auto"/>
              <w:jc w:val="center"/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Зміцнення матеріально-технічної бази закладів освіти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ремонтів, придбання матеріалів та обладнання в закладах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професійно-технічної освіти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професійно-технічної освіти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навчально-практичних центрів на базі закладів професійно-технічної освіти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НПЦ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матеріалів та обладнання/ виконано робіт сумарно до 2900   тис грн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Отримали покращені освітні потреби 20 122 учні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Оновлення  матеріально-технічної бази закладів освіти обласного підпорядкування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матеріально-технічної бази закладів освіти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протипожежних заходів, відеоспостереження, ремонт та облаштування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укриттів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Комплекти обладнання.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обладнанням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7350,01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Застосовувати механізм публічно-приватного партнерства в професійній  (професійно-технічній) освіті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(спільне фінансування закладів освіти,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-практична підготовка)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Розвиток професійної освіти регіону. Створення центрів кваліфікації на базі закладів професійно-технічної освіти 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Проходження курсів підвищення кваліфікації майстрами виробничого навчання, викладачами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створених наглядових рад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К-ть закладів з дуальною формою освіти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Участь роботодавців у роботі НР.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Оновлені освітні програми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Ефективні програми  співпраці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профосвіти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суб’єктами господарювання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Виконано робіт/надано послуг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наглядові ради при усіх ЗП(ПТ )О області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Членами НР в усіх ЗП(ПТ)О області стали підприємці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програми співпраці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профосвіти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із суб'єктами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господарювання, укладено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-та багатосторонні угоди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Залучити потенційних роботодавців до участі у підготовці кваліфікованих робітників шляхом розвитку дуальної форми освіти. Стажування майстрів виробничого навчання на підприємствах регіону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профорієнтацію щодо дуальної освіти в ЗПТО. 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Навчання наставників, що беруть участь у впровадженні дуальної системи навчання 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конкурсів фахової майстерності серед майстрів виробничого навчання, нагородження переможців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скористались послугами 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Участь роботодавців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підгоотовці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робітників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Зростання професійної компетентності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профорієнтацію щодо дуальної освіти в усіх ЗПТО.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Групу відповідальних осіб від ЗПТО  підготовлено до впровадження дуальної системи навчання.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Підвищено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-ну компетентність 50 вчителів та майстрів виробничого навчання.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Роботодавців залучено формування в учнів проф. навичок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Популяризувати робітничі професії, сформувати позитивний імідж закладів професійної (професійно-технічної)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освіти. Залучити бізнес до популяризації професійної освіти та робітничих професій.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Підготовка і проведення профорієнтаційного Форуму професійної освіти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промоційні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відеоролики, учнівські, студентські екскурсії, виставки,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друк поліграфії, реклама у ЗМІ тощо)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К-ть проведених заходів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вибір професії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НМЦПТО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Форум професійної освіти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Взяло участь до 3000 учасників ЗЗСО та ЗПТО.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Влаштовано до 30 павільйонів ЗПТО та роботодавців.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учнівські екскурсії й виставки на базі  обласних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підприємств та ознайомлено учнів сучасним галузями бізнесу.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промоційні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відеоролики, до яких залучено ЗПТО 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Впорядкування та розвиток мережі закладів освіти обласного підпорядкування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Виготовлення та приведення у відповідність до чинного законодавства документації  закладів професійної (професійно-технічної) та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Пакети установчих документів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Модернізація норм та умов праці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Виготовлено пакет документів в закладах освіти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Дослідження регіонального  ринку праці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Інструменти розвитку інституційного партнерства системи професійної освіти та бізнесу в регіоні.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К-сть проведених опитувань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на одного учасника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Позитивний вплив на вибір професії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соціологічне опитування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Аналіз тенденцій і закономірностей розвитку професійної освіти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збалансування регіонального ринку праці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К-сть проведених опитувань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на одного учасника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вибір професії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соціологічне дослідження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6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30259,5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19128,01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+350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</w:t>
            </w:r>
          </w:p>
        </w:tc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354B28">
        <w:tc>
          <w:tcPr>
            <w:tcW w:w="158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Вища освіта та наука. Педагогічна освіта</w:t>
            </w:r>
          </w:p>
          <w:p w:rsidR="006C3174" w:rsidRDefault="006C3174" w:rsidP="006C3174">
            <w:pPr>
              <w:spacing w:after="0" w:line="240" w:lineRule="auto"/>
              <w:jc w:val="center"/>
            </w:pPr>
          </w:p>
        </w:tc>
        <w:tc>
          <w:tcPr>
            <w:tcW w:w="1491" w:type="dxa"/>
            <w:tcBorders>
              <w:top w:val="nil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Підтримувати винахідництво та науково-дослідницьку діяльність молодих вчених та студентів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Преміювання талановитої студентської молоді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премійованого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Визнання учасниками об’єктивності оцінювання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справедливості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студентам премій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– 6500 гривень.</w:t>
            </w:r>
          </w:p>
          <w:p w:rsidR="006C3174" w:rsidRDefault="006C3174" w:rsidP="006C3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студентів області – переможців конкурсів.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Удосконалити механізми стимулювання наукової діяльності молоді шляхом переходу до грантового фінансування, підтримки творчих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Преміювання та надання грантів науковцям, викладачам Львівщини за/для дослідження, корисні регіону та Україні 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 та грантів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та гранту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Отримувачі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вигод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справедливість та об’єктивність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науковцям, викладачам  премії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Вручено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56 премій та до 20 грантів на імплементацію результатів досліджень.</w:t>
            </w:r>
          </w:p>
          <w:p w:rsidR="006C3174" w:rsidRDefault="006C3174" w:rsidP="006C317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однієї премії – 25 тис. грн;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гранта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80 тис. гривень.</w:t>
            </w:r>
          </w:p>
          <w:p w:rsidR="006C3174" w:rsidRDefault="006C3174" w:rsidP="006C3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Індекс цитувань праць учених, які отримали премії, високий.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 праці нагороджених відповідають вимогам до претендентів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Підготовка педагогічних працівників нової генерації шляхом створення умов для залучення до майбутньої професійної діяльності талановитої молоді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щорічного обласного дидактико-педагогічного форуму для обміну досвідом та вироблення політики у сфері підготовки педагогічних працівників нової генерації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учасників – педагогічних та науково-педагогічних працівників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Представлено освітні інновації та досвід практичної педагогічної діяльності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учасників, які визнають цінність форуму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Дрогобицький  державний педагогічний університет імені  Івана Франка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Виконано робіт/надано послуг </w:t>
            </w:r>
          </w:p>
          <w:p w:rsidR="006C3174" w:rsidRDefault="006C3174" w:rsidP="006C3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Залучено до 500 педагогів та науково-педагогічних працівників.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Учасники ознайомлені з новітніми педагогічними практиками та досвідом колег.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Понад 80% опитаних учасників форуму відзначають актуальність тематики та високий рівень організації</w:t>
            </w:r>
          </w:p>
          <w:p w:rsidR="006C3174" w:rsidRDefault="006C3174" w:rsidP="006C31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інноваційних фундаментальних та прикладних досліджень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інноваційних фундаментальних та прикладних досліджень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учасників – педагогічних та науково-педагогічних працівників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Представлено освітні інновації та досвід практичної педагогічної діяльності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Забезпеченість потреби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методологію дослідження впливу молекулярного водню на інтенсивність наводнювання та корозії трубних сталей у модельному для транспортованого газу середовищі з урахуванням їх старіння. Встановлення дійсного технічного стану пошкоджених залізобетонних  конструкцій з використанням методу цифрової кореляції зображення.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Зміцнення матеріально-технічної бази закладів вищої освіти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капітального ремонту із заміною вікон та покрівлі гуртожитку №4 Національного лісотехнічного університету (наслідки ракетного удару)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Національний лісотехнічний університет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          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 обладнання, виконано робіт/надано послуг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ремонтів навчальних корпусів закладів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Проведення поточного ремонту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навчального корпусу «А-3» ВСП Технічного фахового коледжу НУ «Львівська політехніка»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 Львів, вул. М. Пимоненка,17 (наслідки ракетного удару)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ВСП Технічний коледж НУ «Львівська політехніка»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Надано субвенцію з обласного бюджету державному бюджету на виконання програм соціально-економічного розвитку регіонів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поточних ремонтів навчально-виробничих майстерень  закладів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поточного ремонту навчального- виробничої майстерні  «А-2» ВСП Технічного фахового коледжу НУ «Львівська політехніка»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 Львів, вул. М. Пимоненка,17 (наслідки ракетного удару)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 Технічний коледж НУ «Львівська політехніка»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Надано субвенцію з обласного бюджету державному бюджету на виконання програм соціально-економічного розвитку регіонів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70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354B28">
        <w:trPr>
          <w:gridAfter w:val="1"/>
          <w:wAfter w:w="1491" w:type="dxa"/>
        </w:trPr>
        <w:tc>
          <w:tcPr>
            <w:tcW w:w="158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  <w:p w:rsidR="006C3174" w:rsidRDefault="006C3174" w:rsidP="006C3174">
            <w:pPr>
              <w:spacing w:after="0" w:line="240" w:lineRule="auto"/>
              <w:jc w:val="center"/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Сформувати систему моніторингу сфери освіти з метою прийняття ефективних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управлінських рішень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Oреn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Створення на базі спеціальної е-програми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самооновлюваної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бази даних про стан освіти Львівщини 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можливостями для узагальнень та аналітики  (так зв.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датабаза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Наповнення та інформаційна підтримка електронної карти закладів освіти Львівщини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Датабаза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«Електронні карти»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Обсяг витрат на байт 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Е-продукти, що відповідають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завданням та потребі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Виконано   робіт/надано послуг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самооновлювану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е-базу даних про стан загальної освіти Львівщини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самооновлювані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е-карти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заладів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 області.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Створені е-продукти забезпечують узагальнення статистичної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інформації та аналіз стану системи загальної середньої освіти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Впровадити регіональну систему е-урядування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Облаштування системи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трекінгу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(відстеження) руху шкільних автобусів та інших транспортних засобів, що перебувають в користуванні освітніх закладів та установ, в реальному часі. Придбання автомобільних 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трекерів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та супутнього програмного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забезпе</w:t>
            </w:r>
            <w:proofErr w:type="spellEnd"/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Впровадження централізованої електронної системи управління закладами освіти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встановлених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трекерів</w:t>
            </w:r>
            <w:proofErr w:type="spellEnd"/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автобус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тендерну документацію на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трекери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та супутнє обладнання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Придбано і встановлено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трекери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(до 400) та супутнє обладнання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 з розроблення освітніх програм та організації навчання, що забезпечують ефективну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професійну підготовку керівників закладів освіти та управлінців освітньої сфери в питаннях менеджменту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Проведення сесій Освітньої академії Львівщини (вироблення освітньої політики та обмін досвідом управлінської діяльності між управлінським 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персоналом ЗО регіону, бізнесменами та науковцями, семінар-практикум для уповноважених осіб з питань державних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та органів управління освітою</w:t>
            </w:r>
          </w:p>
          <w:p w:rsidR="007C2E88" w:rsidRPr="00463BB5" w:rsidRDefault="007C2E88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Проведення курсів підвищення  кваліфікації працівникам закладів освіти обласного підпорядкування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одного учасника Академії</w:t>
            </w:r>
          </w:p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Набуття досвіду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    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Надано послуг на суму 800 тис грн.</w:t>
            </w:r>
          </w:p>
          <w:p w:rsidR="006C3174" w:rsidRPr="00463BB5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Pr="00463BB5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Проведено 7 сесій Освітньої академії Львівщини.</w:t>
            </w:r>
          </w:p>
          <w:p w:rsidR="006C3174" w:rsidRPr="00463BB5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Pr="00463BB5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Збагатили професійний досвід 580 педагогів, управлінців та уповноважених осіб з питань 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державних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обласного підпорядкування</w:t>
            </w:r>
          </w:p>
          <w:p w:rsidR="007C2E88" w:rsidRPr="00463BB5" w:rsidRDefault="007C2E88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Підвищено кваліфікацію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кухарям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 закладів освіти обласного підпорядкування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навчання педагогічних працівників  області (дистанційні платформи)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користувача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дистанційного навчання (%)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 інноваційних освітніх технологій НУ «Львівська політехніка»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Надано освітніх послуг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Підготовлено 2500 педпрацівників області до використання дистанційних платформ у навчальному процесі.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навчання становить 320 грн на одного користувача.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менше 85% педпрацівників оволоділи методикою дистанційного навчання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6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354B28">
        <w:trPr>
          <w:gridAfter w:val="1"/>
          <w:wAfter w:w="1491" w:type="dxa"/>
        </w:trPr>
        <w:tc>
          <w:tcPr>
            <w:tcW w:w="1587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Наскрізні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проєкти</w:t>
            </w:r>
            <w:proofErr w:type="spellEnd"/>
          </w:p>
        </w:tc>
      </w:tr>
      <w:tr w:rsidR="006C3174" w:rsidRPr="00C34DAA" w:rsidTr="00586316">
        <w:trPr>
          <w:gridAfter w:val="1"/>
          <w:wAfter w:w="1491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Побудувати систему виховання, орієнтовану на формування ідентичності дитини на цінностях української політичної нації – складової європейської цивілізації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переходу до виховання, зорієнтованого на цінності та ідентичність українця: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 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1647,5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18533,3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557E2C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Pr="00557E2C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Pr="00557E2C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557E2C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557E2C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 обладнання і матеріали / виконано роботи / надано послуги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«Плекаймо характер!». Впровадження в ЗЗСО області програм формування емоційного інтелекту дитини на традиційних для українців моральних цінностях в процесі урочної, позакласної та позашкільної діяльності з використанням переважно ігрової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Навчання педагогічних працівників, розроблення методичних матеріалів, проведення обласної педагогічної конференції «Головне – характер!» (2024 р.)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ЗЗСО, в яких укладені програми формування емоційного інтелекту дитини.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Загальний обсяг розроблених методичних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педагогів, які розвинули професійні навички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ЗЗСО, де впроваджена програма (%)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виховного простору ЗЗСО, у яких діє програма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Програми формування емоційного інтелекту дитини укладені в 42 ЗЗСО.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до друку методичні матеріали обсягом до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9 тренінгів. Професійні навички розвинули до 270 педагогів.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42 ЗЗСО розпочато формування сучасного освітнього простору, який відповідає критеріям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1.2. Повне комплектування навчальних кабінетів предмета «Захист України»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закладів освіти  засобами навчання та обладнанням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електронних лазерних тирів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укомплектованих кабінетів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Відповідність комплектації вимогам до обладнання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18533,3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15800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Повне оснащення навчальних кабінетів предмета «Захист України» на умовах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співфінансування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коштів з місцевих бюджетів 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електронні лазерні тири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i/>
                <w:color w:val="40404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Комплектація  відповідає вимогам до обладнання.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до 50%  від потреби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Стимулювати професійне зростання педагогічних працівників</w:t>
            </w: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Інфомедійна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грамотність у закладах освіти Львівщини». Проведення заходів для розвитку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медіаграмотності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педагогічних працівників та учнів: здатності аналізувати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медіаконтент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розрізняти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фейки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дезінформацію і пропаганду, стереотипи і мову ворожнечі, виявляти маніпуляції у медіа та ін.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тренерів та 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тренінги для педагогічних працівників  області на базі опорних шкіл із залученням ЗПТО.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конкурс для учнів  «Я у  медіапросторі»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програму та матеріали для роботи з батьками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Медіаграмотність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батьків» 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«Профілактика емоційного вигорання вчителів». Формування  емоційної стійкості та вмотивованості до навчання впродовж життя.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Сприяння психічному процвітанню через навчання творчому мисленню, роботі в команді і т. ін., формуванню компетентності бути щасливим/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ою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Підготовлено до 10% класних керівників шкіл Львова та Львівської області.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Забезпечено: 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профілактику емоційного вигорання вчителів;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формування в учнів цілісної системи цінностей;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розвиток у вчителів та учнів емоційної стійкості, гнучкості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вміння адаптуватись до зовнішніх обставин та ін.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Стимулювати науково-пізнавальну, пошуково-дослідницьку діяльність учасників освітнього процесу для підвищення у них мотивації до навчання, розвитку творчого і критичного мислення 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розвитку творчих здібностей молоді: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 і матеріалів / виконаних робіт / 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Премійовано команди-переможці і учасниці конкурсів-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на суму 300 тис. грн.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«Центр винахідництва та креативних індустрій». Створення на базі Львівського державного Будинку техніки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гуртків  сучасних інноваційних технологій у сфері ІТ, дизайну, фото-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гуртків та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учня/студента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 Будинок техніки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Створено Центр винахідництва та креативних індустрій на базі Львівського державного Будинку техніки (гуртки  інноваційних технологій у сфері ІТ, дизайну, фото-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Отримали освітні послуги до 100 учнів та студентів.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здобувачів освіти відзначають позитивний вплив гуртка на особистісний розвиток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«Живи органічно!». Залучення дітей дошкільного і шкільного віку до процесу вирощування овочевих культур на базі теплиць та пришкільних ділянок ЗДО, ЗЗСО,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ЗП(ПТ)О, вивчення і дослідження дітьми процесів обробітку землі, вирощування рослин, приготування їжі тощо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залучено 5 ЗЗСО та 5 ЗДО.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Учасниками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є орієнтовно 200 учнів та 150 дошкільнят.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75% опитаних дітей та батьків відзначають позитивний вплив вивчення і дослідження дітьми процесів обробітку землі, вирощування рослин, приготування їжі тощо на особистісний розвиток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«Сходинки професійного зростання». Забезпечення профільного навчання та допрофесійної підготовки учнів закладів загальної середньої та позашкільної освіти в галузі лісівництва на базі «кабінетів лісу», створених за підтримки управління лісового господарства Львівської ОДА та лісгоспів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та обладнано 5 кабінетів лісу.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Виділено робочі місця та навчально-виробничі ділянки на територіях державних лісогосподарських підприємств для проходження здобувачами освіти практичної підготовки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випускники ЗПО за лісівничим профілем набули компетентності з лісознавства та лісівництва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«Мобільна лабораторія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LabInno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 Створення і функціонування технологічної лабораторії, де учні зможуть розробляти і виготовляти зразки інноваційної продукції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«ЛОМАН»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Користуються  послугами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2 000 учнів шкіл Львівської області.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До 60% опитаних відвідувачів лабораторії відзначають, що здобули знання та зацікавились технічними спеціальностями, використанням набутих навичок та інноваційних процесів у житті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 Сприяння</w:t>
            </w:r>
          </w:p>
          <w:p w:rsidR="006C3174" w:rsidRDefault="006C3174" w:rsidP="006C31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учням-винахідникам, які навчаються в ЗЗСО, ЗПТО та коледжах, у розвитку вмінь створювати власні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стартап-проєкти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подавати їх на участь у конкурсі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преміювання команд-переможців та учасників конкурсів-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надання грантової підтримки. Найкращі команди отримають індивідуальну менторську підтримку від партнерів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C3174" w:rsidRDefault="006C3174" w:rsidP="006C31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ЛОДА, ТГ,            НУ  Львівська політехніка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Премійовано команди-переможці і учасниці конкурсів-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на суму 200 тис. грн.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Навчання учнів/студентів -винахідників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80% опитаних учнів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розвиток вмінь створювати власні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стартап-проєкти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вміють подавати їх на участь у конкурсі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Підтримувати та поширювати позитивні приклади використання цифрових технологій та віддаленого навчання для різних категорій здобувачів освіти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цифровізації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освітнього простору, дистанційне і змішане навчання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 обладнання і матеріали / виконано роботи/надано послуги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4.1. Створення умов для впровадження, підтримки дистанційної платформи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у ЗЗСО області</w:t>
            </w:r>
          </w:p>
          <w:p w:rsidR="006C3174" w:rsidRPr="00251C88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Pr="00251C88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К-ть ЗО, які встановили платформу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К-ть педпрацівників, які розмістили навчальні курси на дистанційній платформі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одну школу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Pr="00251C88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Відповідність платформи потребам школи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Самбірський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фпаховий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коледж економік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та інформаційних технологій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забезпечення ефективного функціонування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LMS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Moodle</w:t>
            </w:r>
            <w:proofErr w:type="spellEnd"/>
            <w:r w:rsidRPr="006779A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779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передбачається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домену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DE1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DE16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center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забезпечення доступності платформи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необхідного обладнання: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Джерела безперебійного живлення (ДБЖ) для сервера, маршрутизатора, а також інших товарів та послуг,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пов</w:t>
            </w:r>
            <w:proofErr w:type="spellEnd"/>
            <w:r w:rsidRPr="00EE77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язаних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із підключенням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Проведення додаткових підключень для забезпечення безперебійної роботи сервера, включаючи оплату за інтернет на 12 місяців із виділеною </w:t>
            </w:r>
            <w:r w:rsidRPr="00EE77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ІР-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</w:p>
          <w:p w:rsidR="006C3174" w:rsidRPr="00443855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 Створення нового цифрового продукту для учнів, студентів, педагогічних і науково-педагогічних працівників (проста візуалізація, цікавий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наратив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цікава та «молодіжна» мова) про ефективне навчання, права людини, толерантність та психологічну підтримку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створених продуктів (у байтах)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продукт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ЦІОТ НУ Львівська політехніка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навчальні та інформаційні матеріали з використанням цифрових технологій, призначені для  промоції навчання.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учнів, студентів, педагогічних і науково-педагогічних працівників відзначають позитивний вплив продукту на особистісний розвиток дитини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4.3. Підготовка психологів та соціальних працівників закладів освіти (дошкільної, загальної середньої, професійно-технічної,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вищої) в умовах дистанційного та змішаного навчання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здобувача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 «ЛОІППО»</w:t>
            </w: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«Міжнародна психологічна асоціація проективних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Отримали послуги психологи та соціальні працівники закладів дошкільної, загальної середньої, професійно-технічної,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вищої освіти;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психологи та соціальні працівники оволоділи необхідними їм методиками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Позиціонувати бренд освіти Львівщини в національному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інформаційному просторі, популяризувати освітній потенціал Львівщини за межами регіону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Формування українського освітнього простору в країнах діаспори: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техніки/виконано  робіт/надано послуг сумарною вартістю  1000 тис. гривень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  Портал «Український освітній всесвіт». Інтерактивна карта та форум українознавчих освітніх закладів за кордоном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Портал, що відповідає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завданню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користувачів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порталу вимогам та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інтерактивну карту та форум українознавчих освітніх закладів за кордоном.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 мережу комунікації між освітянами зі 100 українознавчих шкіл  з 36 країн світу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“Крок до України”.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освітнього порталу для навчання української мови як іноземної. Забезпечення учнів українських суботніх та недільних шкіл за кордоном, студентів українознавчих студій за кордоном та студентів-іноземців в Україні сучасними навчальними матеріалами для самостійного вивчення української мови як іноземної (УМІ), учителів суботніх та недільних шкіл - сучасними методичними розробками та навчальними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ресурсами, доступними в режимі онлайн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учня/студента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Запущено освітній інтерактивний ресурс для вивчення української мови та промоції її у світі – портал  та його мобільна версія.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сучасні навчальні та методичні матеріали для навчання української мови в УМІ.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Створено умови для зростання в міжнародній спільноті кількості мовців, які володіють українською мовою; поширення знань про українську культуру, історію 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5.3.  Заходи з підтримки української мови, в т. ч. VІІ Міжнародна науково-практична конференція «Українська мова у світі»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Доповіді та виступи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професійний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VІІ Міжнародна науково-практична конференція «Українська мова у світі» запланована на 2023 рік</w:t>
            </w:r>
          </w:p>
        </w:tc>
      </w:tr>
      <w:tr w:rsidR="006C3174" w:rsidTr="00586316">
        <w:trPr>
          <w:gridAfter w:val="1"/>
          <w:wAfter w:w="1491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5.4.Регіональний науково-практичний експеримент «Впровадження структурно-функціональної моделі забезпечення комплексної підтримки україномовної освіти за кордоном», розрахований на  2020–2030 роки: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-організація навчання для українців-емігрантів, які проживають за кордоном, на базі українських шкіл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екстернатною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дистанційними формами навчання;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розроблення програм та навчальних 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культурно-просвітницьких матеріалів для шкіл різного типу, що функціонують у середовищі українських емігрантів, з урахуванням їхніх потреб;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підготовка (навчання) педагогів для навчання українських емігрантів (дітей та дорослих) українознавчих предметів;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-підвищення кваліфікації педагогів україномовних шкіл;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- форум недільних та суботніх шкіл, які працюють в українській діаспорі за кордоном.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Модель комплексної підтримки україномовної освіти за кордоном.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Програми і матеріали для шкіл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викладання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Навчання для українців-емігрантів, які проживають за кордоном, на базі українських шкіл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екстернатною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дистанційними формами навчання.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Розроблення програм та навчальних і культурно-просвітницьких матеріалів для шкіл різного типу, що функціонують у середовищі українських емігрантів, з урахуванням їхніх потреб.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Підготовка (навчання) педагогів для навчання українських емігрантів (дітей та дорослих) українознавчих предметів. Підвищення кваліфікації педагогів україномовних шкіл.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Форум недільних та суботніх шкіл, які працюють в українській діаспорі за кордоном.</w:t>
            </w:r>
          </w:p>
        </w:tc>
      </w:tr>
      <w:tr w:rsidR="006C3174" w:rsidTr="00586316">
        <w:trPr>
          <w:gridAfter w:val="1"/>
          <w:wAfter w:w="1491" w:type="dxa"/>
          <w:trHeight w:val="339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Створити дітям шкільного віку та учнівській молоді з території активних бойових дій належні умови перебування у закладах освіти обласного підпорядкування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Забезпечити умови для змістовного дозвілля дітей шкільного віку та учнівської молоді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Витрат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 виконаних робіт/наданих послуг (тис грн)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учнів, які отримали послуги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на одного учня 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умови для змістовного дозвілля дітей шкільного віку та учнівської молоді з території активних бойових дій (понад 1000 ос.)</w:t>
            </w:r>
          </w:p>
        </w:tc>
      </w:tr>
      <w:tr w:rsidR="006C3174" w:rsidTr="00586316">
        <w:trPr>
          <w:gridAfter w:val="1"/>
          <w:wAfter w:w="1491" w:type="dxa"/>
          <w:trHeight w:val="339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 створення наукових праць, розвиток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меценацтва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підприємництва, державності, культури </w:t>
            </w:r>
          </w:p>
          <w:p w:rsidR="006C3174" w:rsidRDefault="006C3174" w:rsidP="006C317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Нагородження обласною премією імені Митрополита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Андрея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Шептицького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Витрат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 виконаних робіт/наданих послуг (тис грн)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нагороджених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однієї премії 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премій</w:t>
            </w:r>
          </w:p>
          <w:p w:rsidR="006C3174" w:rsidRDefault="006C3174" w:rsidP="006C3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–      200 тис грн.</w:t>
            </w:r>
          </w:p>
          <w:p w:rsidR="006C3174" w:rsidRDefault="006C3174" w:rsidP="006C3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– переможців конкурсу</w:t>
            </w:r>
          </w:p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6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Загалом коштів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586316">
        <w:trPr>
          <w:gridAfter w:val="1"/>
          <w:wAfter w:w="1491" w:type="dxa"/>
        </w:trPr>
        <w:tc>
          <w:tcPr>
            <w:tcW w:w="6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Усього за наявними позиціями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87555,8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61755,436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6C3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+1976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6C317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31719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6C317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34AC" w:rsidRDefault="003404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вказується кожне джерело окремо.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цілі, заходи, показники вказуються на кожен рік програми.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_______________________________________________________________________</w:t>
      </w:r>
      <w:r w:rsidR="00D42A17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8834AC" w:rsidSect="00726CAB">
      <w:headerReference w:type="default" r:id="rId8"/>
      <w:pgSz w:w="16838" w:h="11906" w:orient="landscape" w:code="9"/>
      <w:pgMar w:top="1418" w:right="851" w:bottom="851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04A" w:rsidRDefault="00F6504A">
      <w:pPr>
        <w:spacing w:after="0" w:line="240" w:lineRule="auto"/>
      </w:pPr>
      <w:r>
        <w:separator/>
      </w:r>
    </w:p>
  </w:endnote>
  <w:endnote w:type="continuationSeparator" w:id="0">
    <w:p w:rsidR="00F6504A" w:rsidRDefault="00F65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04A" w:rsidRDefault="00F6504A">
      <w:pPr>
        <w:spacing w:after="0" w:line="240" w:lineRule="auto"/>
      </w:pPr>
      <w:r>
        <w:separator/>
      </w:r>
    </w:p>
  </w:footnote>
  <w:footnote w:type="continuationSeparator" w:id="0">
    <w:p w:rsidR="00F6504A" w:rsidRDefault="00F65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BB5" w:rsidRDefault="00463B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eastAsia="Calibri"/>
        <w:color w:val="000000"/>
      </w:rPr>
      <w:t xml:space="preserve">                                                                                                           </w:t>
    </w: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823A5A">
      <w:rPr>
        <w:rFonts w:ascii="Times New Roman" w:hAnsi="Times New Roman" w:cs="Times New Roman"/>
        <w:noProof/>
        <w:color w:val="000000"/>
      </w:rPr>
      <w:t>36</w:t>
    </w:r>
    <w:r>
      <w:rPr>
        <w:rFonts w:ascii="Times New Roman" w:hAnsi="Times New Roman" w:cs="Times New Roman"/>
        <w:color w:val="000000"/>
      </w:rPr>
      <w:fldChar w:fldCharType="end"/>
    </w:r>
    <w:r>
      <w:rPr>
        <w:rFonts w:ascii="Times New Roman" w:hAnsi="Times New Roman" w:cs="Times New Roman"/>
        <w:color w:val="000000"/>
      </w:rPr>
      <w:t xml:space="preserve">                                                       Продовження додатка</w:t>
    </w:r>
    <w:r w:rsidR="00823A5A">
      <w:rPr>
        <w:rFonts w:ascii="Times New Roman" w:hAnsi="Times New Roman" w:cs="Times New Roman"/>
        <w:color w:val="000000"/>
      </w:rPr>
      <w:t xml:space="preserve">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AC"/>
    <w:rsid w:val="00021836"/>
    <w:rsid w:val="00031458"/>
    <w:rsid w:val="00054E68"/>
    <w:rsid w:val="000A5B42"/>
    <w:rsid w:val="000A6E15"/>
    <w:rsid w:val="000E27AF"/>
    <w:rsid w:val="00110B92"/>
    <w:rsid w:val="00135189"/>
    <w:rsid w:val="00150D26"/>
    <w:rsid w:val="001B0A42"/>
    <w:rsid w:val="00251C88"/>
    <w:rsid w:val="00251CA0"/>
    <w:rsid w:val="00257309"/>
    <w:rsid w:val="002B002F"/>
    <w:rsid w:val="002C6920"/>
    <w:rsid w:val="0032597D"/>
    <w:rsid w:val="003404F6"/>
    <w:rsid w:val="00354B28"/>
    <w:rsid w:val="003B10D2"/>
    <w:rsid w:val="003B47DD"/>
    <w:rsid w:val="004167A2"/>
    <w:rsid w:val="00443855"/>
    <w:rsid w:val="00454060"/>
    <w:rsid w:val="00463BB5"/>
    <w:rsid w:val="00485C55"/>
    <w:rsid w:val="00524CF6"/>
    <w:rsid w:val="00547EB5"/>
    <w:rsid w:val="00557E2C"/>
    <w:rsid w:val="0058523B"/>
    <w:rsid w:val="00586316"/>
    <w:rsid w:val="00631793"/>
    <w:rsid w:val="00641DA9"/>
    <w:rsid w:val="00645A67"/>
    <w:rsid w:val="0069225F"/>
    <w:rsid w:val="006C2F42"/>
    <w:rsid w:val="006C3174"/>
    <w:rsid w:val="006D1A3B"/>
    <w:rsid w:val="00726CAB"/>
    <w:rsid w:val="007C2E88"/>
    <w:rsid w:val="00823A5A"/>
    <w:rsid w:val="008834AC"/>
    <w:rsid w:val="00910DB2"/>
    <w:rsid w:val="00994BE0"/>
    <w:rsid w:val="009E2441"/>
    <w:rsid w:val="00A34FF8"/>
    <w:rsid w:val="00A57EBE"/>
    <w:rsid w:val="00A76123"/>
    <w:rsid w:val="00A90C92"/>
    <w:rsid w:val="00AF23E7"/>
    <w:rsid w:val="00B84CF3"/>
    <w:rsid w:val="00B9198F"/>
    <w:rsid w:val="00BA2D41"/>
    <w:rsid w:val="00C34DAA"/>
    <w:rsid w:val="00C52896"/>
    <w:rsid w:val="00C70E46"/>
    <w:rsid w:val="00CB14D9"/>
    <w:rsid w:val="00CD16FA"/>
    <w:rsid w:val="00CE63AD"/>
    <w:rsid w:val="00D164FD"/>
    <w:rsid w:val="00D42A17"/>
    <w:rsid w:val="00D81E66"/>
    <w:rsid w:val="00DB2A18"/>
    <w:rsid w:val="00E203FB"/>
    <w:rsid w:val="00EA6504"/>
    <w:rsid w:val="00F6504A"/>
    <w:rsid w:val="00F719A6"/>
    <w:rsid w:val="00F829B8"/>
    <w:rsid w:val="00F909B3"/>
    <w:rsid w:val="00F97D9D"/>
    <w:rsid w:val="00FE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AB832"/>
  <w15:docId w15:val="{113720A1-4289-42DB-9792-2D8315C1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ED9"/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rsid w:val="001C5ED9"/>
    <w:pPr>
      <w:keepNext/>
      <w:keepLines/>
      <w:spacing w:before="480" w:after="120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1C5ED9"/>
    <w:pPr>
      <w:keepNext/>
      <w:keepLines/>
      <w:spacing w:before="360" w:after="80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1C5ED9"/>
    <w:pPr>
      <w:keepNext/>
      <w:keepLines/>
      <w:spacing w:before="280" w:after="80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1C5ED9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next w:val="a"/>
    <w:link w:val="50"/>
    <w:qFormat/>
    <w:rsid w:val="001C5ED9"/>
    <w:pPr>
      <w:keepNext/>
      <w:keepLines/>
      <w:spacing w:before="220" w:after="40"/>
      <w:outlineLvl w:val="4"/>
    </w:pPr>
    <w:rPr>
      <w:b/>
      <w:bCs/>
      <w:lang w:eastAsia="ru-RU"/>
    </w:rPr>
  </w:style>
  <w:style w:type="paragraph" w:styleId="6">
    <w:name w:val="heading 6"/>
    <w:basedOn w:val="a"/>
    <w:next w:val="a"/>
    <w:link w:val="60"/>
    <w:qFormat/>
    <w:rsid w:val="001C5ED9"/>
    <w:pPr>
      <w:keepNext/>
      <w:keepLines/>
      <w:spacing w:before="200" w:after="40"/>
      <w:outlineLvl w:val="5"/>
    </w:pPr>
    <w:rPr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C5ED9"/>
    <w:pPr>
      <w:keepNext/>
      <w:keepLines/>
      <w:spacing w:before="480" w:after="120"/>
    </w:pPr>
    <w:rPr>
      <w:b/>
      <w:bCs/>
      <w:sz w:val="72"/>
      <w:szCs w:val="72"/>
      <w:lang w:eastAsia="ru-RU"/>
    </w:rPr>
  </w:style>
  <w:style w:type="character" w:customStyle="1" w:styleId="10">
    <w:name w:val="Заголовок 1 Знак"/>
    <w:link w:val="1"/>
    <w:locked/>
    <w:rsid w:val="001C5ED9"/>
    <w:rPr>
      <w:rFonts w:ascii="Calibri" w:hAnsi="Calibri" w:cs="Calibri"/>
      <w:b/>
      <w:bCs/>
      <w:sz w:val="48"/>
      <w:szCs w:val="48"/>
      <w:lang w:val="x-none" w:eastAsia="ru-RU"/>
    </w:rPr>
  </w:style>
  <w:style w:type="character" w:customStyle="1" w:styleId="20">
    <w:name w:val="Заголовок 2 Знак"/>
    <w:link w:val="2"/>
    <w:locked/>
    <w:rsid w:val="001C5ED9"/>
    <w:rPr>
      <w:rFonts w:ascii="Calibri" w:hAnsi="Calibri" w:cs="Calibri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locked/>
    <w:rsid w:val="001C5ED9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link w:val="4"/>
    <w:locked/>
    <w:rsid w:val="001C5ED9"/>
    <w:rPr>
      <w:rFonts w:ascii="Times New Roman" w:hAnsi="Times New Roman" w:cs="Times New Roman"/>
      <w:b/>
      <w:bCs/>
      <w:sz w:val="24"/>
      <w:szCs w:val="24"/>
      <w:lang w:val="x-none" w:eastAsia="uk-UA"/>
    </w:rPr>
  </w:style>
  <w:style w:type="character" w:customStyle="1" w:styleId="50">
    <w:name w:val="Заголовок 5 Знак"/>
    <w:link w:val="5"/>
    <w:locked/>
    <w:rsid w:val="001C5ED9"/>
    <w:rPr>
      <w:rFonts w:ascii="Calibri" w:hAnsi="Calibri" w:cs="Calibri"/>
      <w:b/>
      <w:bCs/>
      <w:lang w:val="x-none" w:eastAsia="ru-RU"/>
    </w:rPr>
  </w:style>
  <w:style w:type="character" w:customStyle="1" w:styleId="60">
    <w:name w:val="Заголовок 6 Знак"/>
    <w:link w:val="6"/>
    <w:locked/>
    <w:rsid w:val="001C5ED9"/>
    <w:rPr>
      <w:rFonts w:ascii="Calibri" w:hAnsi="Calibri" w:cs="Calibri"/>
      <w:b/>
      <w:bCs/>
      <w:sz w:val="20"/>
      <w:szCs w:val="20"/>
      <w:lang w:val="x-none" w:eastAsia="ru-RU"/>
    </w:rPr>
  </w:style>
  <w:style w:type="table" w:customStyle="1" w:styleId="TableNormal1">
    <w:name w:val="Table Normal1"/>
    <w:rsid w:val="001C5ED9"/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 Знак"/>
    <w:link w:val="a3"/>
    <w:locked/>
    <w:rsid w:val="001C5ED9"/>
    <w:rPr>
      <w:rFonts w:ascii="Calibri" w:hAnsi="Calibri" w:cs="Calibri"/>
      <w:b/>
      <w:bCs/>
      <w:sz w:val="72"/>
      <w:szCs w:val="72"/>
      <w:lang w:val="x-none" w:eastAsia="ru-RU"/>
    </w:rPr>
  </w:style>
  <w:style w:type="paragraph" w:styleId="a5">
    <w:name w:val="header"/>
    <w:basedOn w:val="a"/>
    <w:link w:val="a6"/>
    <w:uiPriority w:val="99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6">
    <w:name w:val="Верхній колонтитул Знак"/>
    <w:link w:val="a5"/>
    <w:uiPriority w:val="99"/>
    <w:locked/>
    <w:rsid w:val="001C5ED9"/>
    <w:rPr>
      <w:rFonts w:ascii="Calibri" w:hAnsi="Calibri" w:cs="Calibri"/>
      <w:lang w:val="x-none" w:eastAsia="ru-RU"/>
    </w:rPr>
  </w:style>
  <w:style w:type="paragraph" w:styleId="a7">
    <w:name w:val="footer"/>
    <w:basedOn w:val="a"/>
    <w:link w:val="a8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8">
    <w:name w:val="Нижній колонтитул Знак"/>
    <w:link w:val="a7"/>
    <w:locked/>
    <w:rsid w:val="001C5ED9"/>
    <w:rPr>
      <w:rFonts w:ascii="Calibri" w:hAnsi="Calibri" w:cs="Calibri"/>
      <w:lang w:val="x-none" w:eastAsia="ru-RU"/>
    </w:rPr>
  </w:style>
  <w:style w:type="character" w:styleId="a9">
    <w:name w:val="Hyperlink"/>
    <w:rsid w:val="001C5ED9"/>
    <w:rPr>
      <w:rFonts w:cs="Times New Roman"/>
      <w:color w:val="auto"/>
      <w:u w:val="single"/>
    </w:rPr>
  </w:style>
  <w:style w:type="paragraph" w:customStyle="1" w:styleId="11">
    <w:name w:val="Абзац списку1"/>
    <w:aliases w:val="List Paragraph1,Left Bullet L1,Bullet Points,Liste Paragraf,Numbered Standard,Bullet Styles para,Heading 2_sj,Numbered Para 1,Dot pt,No Spacing1,List Paragraph Char Char Char,Indicator Text,Bullet 1,MAIN CONTENT,List Paragraph11"/>
    <w:basedOn w:val="a"/>
    <w:link w:val="ListParagraphChar"/>
    <w:rsid w:val="001C5ED9"/>
    <w:pPr>
      <w:ind w:left="720"/>
    </w:pPr>
    <w:rPr>
      <w:rFonts w:cs="Times New Roman"/>
      <w:sz w:val="20"/>
      <w:szCs w:val="20"/>
      <w:lang w:eastAsia="ru-RU"/>
    </w:rPr>
  </w:style>
  <w:style w:type="character" w:customStyle="1" w:styleId="21">
    <w:name w:val="Основний текст (2)_"/>
    <w:link w:val="22"/>
    <w:locked/>
    <w:rsid w:val="001C5ED9"/>
    <w:rPr>
      <w:sz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1C5ED9"/>
    <w:pPr>
      <w:widowControl w:val="0"/>
      <w:shd w:val="clear" w:color="auto" w:fill="FFFFFF"/>
      <w:spacing w:before="360" w:after="120" w:line="350" w:lineRule="exact"/>
      <w:ind w:hanging="360"/>
      <w:jc w:val="center"/>
    </w:pPr>
    <w:rPr>
      <w:rFonts w:cs="Times New Roman"/>
      <w:sz w:val="28"/>
      <w:szCs w:val="28"/>
      <w:lang w:eastAsia="uk-UA"/>
    </w:rPr>
  </w:style>
  <w:style w:type="character" w:styleId="aa">
    <w:name w:val="Emphasis"/>
    <w:qFormat/>
    <w:rsid w:val="001C5ED9"/>
    <w:rPr>
      <w:rFonts w:cs="Times New Roman"/>
      <w:i/>
      <w:iCs/>
    </w:rPr>
  </w:style>
  <w:style w:type="paragraph" w:customStyle="1" w:styleId="docdata">
    <w:name w:val="docdata"/>
    <w:aliases w:val="docy,v5,14228,baiaagaaboqcaaadyjuaaaxynq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b">
    <w:name w:val="Normal (Web)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c">
    <w:name w:val="Strong"/>
    <w:qFormat/>
    <w:rsid w:val="001C5ED9"/>
    <w:rPr>
      <w:rFonts w:cs="Times New Roman"/>
      <w:b/>
      <w:bCs/>
    </w:rPr>
  </w:style>
  <w:style w:type="paragraph" w:customStyle="1" w:styleId="rvps2">
    <w:name w:val="rvps2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1C5ED9"/>
    <w:rPr>
      <w:rFonts w:cs="Times New Roman"/>
    </w:rPr>
  </w:style>
  <w:style w:type="character" w:customStyle="1" w:styleId="1825">
    <w:name w:val="1825"/>
    <w:aliases w:val="baiaagaaboqcaaadwguaaav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832">
    <w:name w:val="1832"/>
    <w:aliases w:val="baiaagaaboqcaaadyquaaavv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customStyle="1" w:styleId="12">
    <w:name w:val="Абзац списку1"/>
    <w:basedOn w:val="a"/>
    <w:rsid w:val="001C5ED9"/>
    <w:pPr>
      <w:spacing w:after="0" w:line="276" w:lineRule="auto"/>
      <w:ind w:left="720"/>
    </w:pPr>
    <w:rPr>
      <w:rFonts w:eastAsia="Calibri"/>
      <w:lang w:eastAsia="ru-RU"/>
    </w:rPr>
  </w:style>
  <w:style w:type="character" w:customStyle="1" w:styleId="1863">
    <w:name w:val="1863"/>
    <w:aliases w:val="baiaagaaboqcaaadgauaaaw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82">
    <w:name w:val="9082"/>
    <w:aliases w:val="baiaagaabrwdaaaduh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40">
    <w:name w:val="9040"/>
    <w:aliases w:val="baiaagaabrwdaaadkb8aaawe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108">
    <w:name w:val="9108"/>
    <w:aliases w:val="baiaagaabrwdaaad1b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0880">
    <w:name w:val="10880"/>
    <w:aliases w:val="baiaagaabrwdaaadwr8aaaxojg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955">
    <w:name w:val="8955"/>
    <w:aliases w:val="baiaagaabrwdaaadox8aaavj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618">
    <w:name w:val="8618"/>
    <w:aliases w:val="baiaagaabrwdaaad4x8aaaxx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097">
    <w:name w:val="11097"/>
    <w:aliases w:val="baiaagaabrwdaaadsh8aaawnjw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270">
    <w:name w:val="11270"/>
    <w:aliases w:val="baiaagaabrwdaaad9x8aaavu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302">
    <w:name w:val="11302"/>
    <w:aliases w:val="baiaagaabrwdaaadfyaaaav0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425">
    <w:name w:val="8425"/>
    <w:aliases w:val="baiaagaabrwdaaadih8aaauw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styleId="ad">
    <w:name w:val="Subtitle"/>
    <w:basedOn w:val="a"/>
    <w:next w:val="a"/>
    <w:link w:val="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e">
    <w:name w:val="Підзаголовок Знак"/>
    <w:link w:val="ad"/>
    <w:locked/>
    <w:rsid w:val="001C5ED9"/>
    <w:rPr>
      <w:rFonts w:ascii="Georgia" w:hAnsi="Georgia" w:cs="Georgia"/>
      <w:i/>
      <w:iCs/>
      <w:color w:val="666666"/>
      <w:sz w:val="48"/>
      <w:szCs w:val="48"/>
      <w:lang w:val="x-none" w:eastAsia="ru-RU"/>
    </w:rPr>
  </w:style>
  <w:style w:type="paragraph" w:styleId="af">
    <w:name w:val="Balloon Text"/>
    <w:basedOn w:val="a"/>
    <w:link w:val="af0"/>
    <w:semiHidden/>
    <w:rsid w:val="001C5ED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0">
    <w:name w:val="Текст у виносці Знак"/>
    <w:link w:val="af"/>
    <w:semiHidden/>
    <w:locked/>
    <w:rsid w:val="001C5ED9"/>
    <w:rPr>
      <w:rFonts w:ascii="Tahoma" w:hAnsi="Tahoma" w:cs="Tahoma"/>
      <w:sz w:val="16"/>
      <w:szCs w:val="16"/>
      <w:lang w:val="x-none" w:eastAsia="ru-RU"/>
    </w:rPr>
  </w:style>
  <w:style w:type="paragraph" w:customStyle="1" w:styleId="13">
    <w:name w:val="Без інтервалів1"/>
    <w:rsid w:val="001C5ED9"/>
    <w:rPr>
      <w:rFonts w:eastAsia="Times New Roman"/>
      <w:lang w:eastAsia="ru-RU"/>
    </w:rPr>
  </w:style>
  <w:style w:type="character" w:customStyle="1" w:styleId="1569">
    <w:name w:val="1569"/>
    <w:aliases w:val="baiaagaaboqcaaadwgqaaavoba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2100">
    <w:name w:val="2100"/>
    <w:aliases w:val="baiaagaaboqcaaadbqyaaav7bg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ListParagraphChar">
    <w:name w:val="List Paragraph Char"/>
    <w:aliases w:val="List Paragraph1 Char,Left Bullet L1 Char,Bullet Points Char,Liste Paragraf Char,Numbered Standard Char,Bullet Styles para Char,Heading 2_sj Char,Numbered Para 1 Char,Dot pt Char,No Spacing1 Char,List Paragraph Char Char Char Char"/>
    <w:link w:val="11"/>
    <w:locked/>
    <w:rsid w:val="001C5ED9"/>
    <w:rPr>
      <w:rFonts w:ascii="Calibri" w:hAnsi="Calibri"/>
      <w:lang w:val="x-none" w:eastAsia="ru-RU"/>
    </w:rPr>
  </w:style>
  <w:style w:type="paragraph" w:customStyle="1" w:styleId="1685">
    <w:name w:val="1685"/>
    <w:aliases w:val="baiaagaaboqcaaadzgqaaaxc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53">
    <w:name w:val="1753"/>
    <w:aliases w:val="baiaagaaboqcaaadegu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167">
    <w:name w:val="2167"/>
    <w:aliases w:val="baiaagaaboqcaaadcwqaaawb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542">
    <w:name w:val="2542"/>
    <w:aliases w:val="baiaagaaboqcaaadjwgaaau1c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383">
    <w:name w:val="2383"/>
    <w:aliases w:val="baiaagaaboqcaaad+wqaaauj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48">
    <w:name w:val="1748"/>
    <w:aliases w:val="baiaagaaboqcaaadvqqaaaxl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943">
    <w:name w:val="1943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629">
    <w:name w:val="1629"/>
    <w:aliases w:val="baiaagaaboqcaaadrgqaaavu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83">
    <w:name w:val="1883"/>
    <w:aliases w:val="baiaagaaboqcaaadrauaaavs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07">
    <w:name w:val="1807"/>
    <w:aliases w:val="baiaagaaboqcaaad+aq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f1">
    <w:name w:val="footnote text"/>
    <w:basedOn w:val="a"/>
    <w:link w:val="af2"/>
    <w:semiHidden/>
    <w:rsid w:val="001C5ED9"/>
    <w:pPr>
      <w:suppressAutoHyphens/>
      <w:spacing w:after="0" w:line="240" w:lineRule="auto"/>
    </w:pPr>
    <w:rPr>
      <w:kern w:val="1"/>
      <w:sz w:val="20"/>
      <w:szCs w:val="20"/>
      <w:lang w:eastAsia="uk-UA"/>
    </w:rPr>
  </w:style>
  <w:style w:type="character" w:customStyle="1" w:styleId="af2">
    <w:name w:val="Текст виноски Знак"/>
    <w:link w:val="af1"/>
    <w:semiHidden/>
    <w:locked/>
    <w:rsid w:val="001C5ED9"/>
    <w:rPr>
      <w:rFonts w:ascii="Calibri" w:hAnsi="Calibri" w:cs="Calibri"/>
      <w:kern w:val="1"/>
      <w:sz w:val="20"/>
      <w:szCs w:val="20"/>
      <w:lang w:val="x-none" w:eastAsia="uk-UA"/>
    </w:rPr>
  </w:style>
  <w:style w:type="character" w:styleId="af3">
    <w:name w:val="footnote reference"/>
    <w:semiHidden/>
    <w:rsid w:val="001C5ED9"/>
    <w:rPr>
      <w:rFonts w:cs="Times New Roman"/>
      <w:vertAlign w:val="superscript"/>
    </w:rPr>
  </w:style>
  <w:style w:type="paragraph" w:customStyle="1" w:styleId="1422">
    <w:name w:val="1422"/>
    <w:aliases w:val="baiaagaaboqcaaadxwmaaaxva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853">
    <w:name w:val="2853"/>
    <w:aliases w:val="baiaagaaboqcaaaddqcaaaubb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Contents">
    <w:name w:val="Table Contents"/>
    <w:basedOn w:val="a"/>
    <w:rsid w:val="001C5ED9"/>
    <w:pPr>
      <w:suppressLineNumbers/>
      <w:spacing w:after="0" w:line="240" w:lineRule="auto"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styleId="23">
    <w:name w:val="Body Text 2"/>
    <w:basedOn w:val="a"/>
    <w:link w:val="24"/>
    <w:rsid w:val="001C5ED9"/>
    <w:pPr>
      <w:spacing w:after="200" w:line="276" w:lineRule="auto"/>
      <w:jc w:val="both"/>
    </w:pPr>
    <w:rPr>
      <w:rFonts w:ascii="Cambria" w:eastAsia="Calibri" w:hAnsi="Cambria" w:cs="Cambria"/>
      <w:sz w:val="28"/>
      <w:szCs w:val="28"/>
      <w:lang w:eastAsia="uk-UA"/>
    </w:rPr>
  </w:style>
  <w:style w:type="character" w:customStyle="1" w:styleId="24">
    <w:name w:val="Основний текст 2 Знак"/>
    <w:link w:val="23"/>
    <w:locked/>
    <w:rsid w:val="001C5ED9"/>
    <w:rPr>
      <w:rFonts w:ascii="Cambria" w:hAnsi="Cambria" w:cs="Cambria"/>
      <w:sz w:val="20"/>
      <w:szCs w:val="20"/>
      <w:lang w:val="x-none" w:eastAsia="uk-UA"/>
    </w:rPr>
  </w:style>
  <w:style w:type="paragraph" w:customStyle="1" w:styleId="HeadingA4">
    <w:name w:val="Heading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48"/>
      <w:szCs w:val="48"/>
      <w:lang w:eastAsia="zh-CN"/>
    </w:rPr>
  </w:style>
  <w:style w:type="paragraph" w:customStyle="1" w:styleId="TextA4">
    <w:name w:val="Text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36"/>
      <w:szCs w:val="36"/>
      <w:lang w:eastAsia="zh-CN"/>
    </w:rPr>
  </w:style>
  <w:style w:type="paragraph" w:customStyle="1" w:styleId="3615">
    <w:name w:val="3615"/>
    <w:aliases w:val="baiaagaaboqcaaadwawaaavmd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267">
    <w:name w:val="4267"/>
    <w:aliases w:val="baiaagaaboqcaaad5a4aaaxyd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046">
    <w:name w:val="6046"/>
    <w:aliases w:val="baiaagaaboqcaaad1xuaaaxlf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971">
    <w:name w:val="4971"/>
    <w:aliases w:val="baiaagaaboqcaaadpbeaaawye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189">
    <w:name w:val="7189"/>
    <w:aliases w:val="baiaagaaboqcaaadthoaaavcg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683">
    <w:name w:val="2683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628">
    <w:name w:val="7628"/>
    <w:aliases w:val="baiaagaaboqcaaadqhcaaaw4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5516">
    <w:name w:val="5516"/>
    <w:aliases w:val="baiaagaaboqcaaadxrmaaaxte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525">
    <w:name w:val="6525"/>
    <w:aliases w:val="baiaagaaboqcaaadthcaaaxe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8081">
    <w:name w:val="8081"/>
    <w:aliases w:val="baiaagaaboqcaaadyh0aaaxyh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3375">
    <w:name w:val="3375"/>
    <w:aliases w:val="baiaagaaboqcaaadaasaaav2c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4">
    <w:name w:val="annotation reference"/>
    <w:semiHidden/>
    <w:rsid w:val="00CD0F64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semiHidden/>
    <w:rsid w:val="00CD0F64"/>
    <w:pPr>
      <w:spacing w:line="240" w:lineRule="auto"/>
    </w:pPr>
    <w:rPr>
      <w:sz w:val="20"/>
      <w:szCs w:val="20"/>
    </w:rPr>
  </w:style>
  <w:style w:type="character" w:customStyle="1" w:styleId="af6">
    <w:name w:val="Текст примітки Знак"/>
    <w:link w:val="af5"/>
    <w:semiHidden/>
    <w:locked/>
    <w:rsid w:val="00CD0F64"/>
    <w:rPr>
      <w:rFonts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rsid w:val="00CD0F64"/>
    <w:rPr>
      <w:b/>
      <w:bCs/>
    </w:rPr>
  </w:style>
  <w:style w:type="character" w:customStyle="1" w:styleId="af8">
    <w:name w:val="Тема примітки Знак"/>
    <w:link w:val="af7"/>
    <w:semiHidden/>
    <w:locked/>
    <w:rsid w:val="00CD0F64"/>
    <w:rPr>
      <w:rFonts w:cs="Times New Roman"/>
      <w:b/>
      <w:bCs/>
      <w:sz w:val="20"/>
      <w:szCs w:val="20"/>
    </w:rPr>
  </w:style>
  <w:style w:type="character" w:styleId="af9">
    <w:name w:val="Subtle Emphasis"/>
    <w:uiPriority w:val="19"/>
    <w:qFormat/>
    <w:rsid w:val="00FA6AB8"/>
    <w:rPr>
      <w:i/>
      <w:iCs/>
      <w:color w:val="404040"/>
    </w:rPr>
  </w:style>
  <w:style w:type="table" w:customStyle="1" w:styleId="af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YUjkkgKqVacto2SLccxJQZI9uA==">CgMxLjAyCGguZ2pkZ3hzOAByITFWY1E0a1hJWXN3N3dIa3diWXVEQTJxOXFRck0yanBSeA==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1869BA-A991-46D8-986D-FAA54516D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36</Pages>
  <Words>36596</Words>
  <Characters>20860</Characters>
  <Application>Microsoft Office Word</Application>
  <DocSecurity>0</DocSecurity>
  <Lines>173</Lines>
  <Paragraphs>114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Пастушенко</dc:creator>
  <cp:lastModifiedBy>user32</cp:lastModifiedBy>
  <cp:revision>8</cp:revision>
  <cp:lastPrinted>2025-08-26T12:41:00Z</cp:lastPrinted>
  <dcterms:created xsi:type="dcterms:W3CDTF">2025-08-15T11:19:00Z</dcterms:created>
  <dcterms:modified xsi:type="dcterms:W3CDTF">2025-08-26T12:43:00Z</dcterms:modified>
</cp:coreProperties>
</file>